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64E2" w14:textId="77777777" w:rsidR="00AB2E1C" w:rsidRPr="00AB2E1C" w:rsidRDefault="00D33E7C" w:rsidP="00AB2E1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pict w14:anchorId="0CB475AA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17" o:spid="_x0000_s1026" type="#_x0000_t202" style="position:absolute;left:0;text-align:left;margin-left:-13.7pt;margin-top:11.8pt;width:196.5pt;height:82.5pt;z-index:-251658752;visibility:visible;mso-wrap-distance-top:3.6pt;mso-wrap-distance-bottom:3.6pt;mso-position-horizontal-relative:margin;mso-width-relative:margin;mso-height-relative:margin" wrapcoords="-82 -196 -82 21404 21682 21404 21682 -196 -82 -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">
            <v:textbox>
              <w:txbxContent>
                <w:p w14:paraId="6A168503" w14:textId="77777777" w:rsidR="00AB2E1C" w:rsidRDefault="00AB2E1C" w:rsidP="00AB2E1C">
                  <w:pPr>
                    <w:jc w:val="center"/>
                  </w:pPr>
                </w:p>
                <w:p w14:paraId="7CF9AA83" w14:textId="77777777" w:rsidR="00AB2E1C" w:rsidRDefault="00AB2E1C" w:rsidP="00AB2E1C">
                  <w:pPr>
                    <w:jc w:val="center"/>
                  </w:pPr>
                </w:p>
                <w:p w14:paraId="110F6F69" w14:textId="77777777" w:rsidR="00AB2E1C" w:rsidRPr="002A3A65" w:rsidRDefault="00AB2E1C" w:rsidP="00AB2E1C">
                  <w:pPr>
                    <w:jc w:val="center"/>
                    <w:rPr>
                      <w:i/>
                    </w:rPr>
                  </w:pPr>
                  <w:r w:rsidRPr="002A3A65">
                    <w:rPr>
                      <w:i/>
                    </w:rPr>
                    <w:t xml:space="preserve">Pieczęć Administratora </w:t>
                  </w:r>
                </w:p>
                <w:p w14:paraId="1831C086" w14:textId="77777777" w:rsidR="00AB2E1C" w:rsidRDefault="00AB2E1C" w:rsidP="00AB2E1C">
                  <w:pPr>
                    <w:jc w:val="center"/>
                  </w:pPr>
                </w:p>
                <w:p w14:paraId="47B3A30E" w14:textId="77777777" w:rsidR="00AB2E1C" w:rsidRDefault="00AB2E1C" w:rsidP="00AB2E1C">
                  <w:pPr>
                    <w:jc w:val="center"/>
                  </w:pPr>
                  <w:r>
                    <w:t>Pieczęć administratora</w:t>
                  </w:r>
                </w:p>
              </w:txbxContent>
            </v:textbox>
            <w10:wrap type="tight" anchorx="margin"/>
          </v:shape>
        </w:pict>
      </w:r>
    </w:p>
    <w:p w14:paraId="3D222950" w14:textId="77777777" w:rsidR="00AB2E1C" w:rsidRPr="00AB2E1C" w:rsidRDefault="00AB2E1C" w:rsidP="00AB2E1C">
      <w:pPr>
        <w:spacing w:line="276" w:lineRule="auto"/>
        <w:jc w:val="center"/>
        <w:rPr>
          <w:b/>
          <w:sz w:val="28"/>
          <w:szCs w:val="28"/>
        </w:rPr>
      </w:pPr>
      <w:r w:rsidRPr="00AB2E1C">
        <w:rPr>
          <w:b/>
          <w:sz w:val="28"/>
          <w:szCs w:val="28"/>
        </w:rPr>
        <w:t xml:space="preserve">PROCEDURA DOPUSZCZANIA OSOBY DO PRACY/WSPÓŁPRACY/PRAKTYKI/STAŻU </w:t>
      </w:r>
      <w:r w:rsidRPr="00AB2E1C">
        <w:rPr>
          <w:b/>
          <w:sz w:val="28"/>
          <w:szCs w:val="28"/>
        </w:rPr>
        <w:br/>
        <w:t>U ADMINISTRATORA</w:t>
      </w:r>
    </w:p>
    <w:p w14:paraId="6297BB86" w14:textId="77777777" w:rsidR="00AB2E1C" w:rsidRPr="00AB2E1C" w:rsidRDefault="00AB2E1C" w:rsidP="00AB2E1C">
      <w:pPr>
        <w:numPr>
          <w:ilvl w:val="1"/>
          <w:numId w:val="0"/>
        </w:numPr>
        <w:rPr>
          <w:rFonts w:eastAsiaTheme="minorEastAsia"/>
          <w:color w:val="5A5A5A" w:themeColor="text1" w:themeTint="A5"/>
          <w:spacing w:val="15"/>
        </w:rPr>
      </w:pPr>
    </w:p>
    <w:p w14:paraId="7201FF3C" w14:textId="77777777" w:rsidR="00AB2E1C" w:rsidRPr="00AB2E1C" w:rsidRDefault="00AB2E1C" w:rsidP="00AB2E1C">
      <w:pPr>
        <w:numPr>
          <w:ilvl w:val="0"/>
          <w:numId w:val="3"/>
        </w:numPr>
        <w:contextualSpacing/>
        <w:rPr>
          <w:b/>
          <w:bCs/>
        </w:rPr>
      </w:pPr>
      <w:r w:rsidRPr="00AB2E1C">
        <w:rPr>
          <w:b/>
          <w:bCs/>
        </w:rPr>
        <w:t xml:space="preserve">Zakres procedury </w:t>
      </w:r>
    </w:p>
    <w:p w14:paraId="51A98ECA" w14:textId="77777777" w:rsidR="00AB2E1C" w:rsidRPr="00AB2E1C" w:rsidRDefault="00AB2E1C" w:rsidP="00AB2E1C">
      <w:pPr>
        <w:ind w:left="1080"/>
        <w:contextualSpacing/>
      </w:pPr>
    </w:p>
    <w:p w14:paraId="70D7CE18" w14:textId="77777777" w:rsidR="00AB2E1C" w:rsidRPr="00AB2E1C" w:rsidRDefault="00AB2E1C" w:rsidP="00AB2E1C">
      <w:pPr>
        <w:numPr>
          <w:ilvl w:val="0"/>
          <w:numId w:val="4"/>
        </w:numPr>
        <w:contextualSpacing/>
      </w:pPr>
      <w:r w:rsidRPr="00AB2E1C">
        <w:t>Niniejsza Procedura dotyczy:</w:t>
      </w:r>
    </w:p>
    <w:p w14:paraId="220A7272" w14:textId="77777777" w:rsidR="00AB2E1C" w:rsidRPr="00AB2E1C" w:rsidRDefault="00AB2E1C" w:rsidP="00AB2E1C">
      <w:pPr>
        <w:numPr>
          <w:ilvl w:val="0"/>
          <w:numId w:val="2"/>
        </w:numPr>
        <w:contextualSpacing/>
      </w:pPr>
      <w:r w:rsidRPr="00AB2E1C">
        <w:t xml:space="preserve">prowadzenia rekrutacji; </w:t>
      </w:r>
    </w:p>
    <w:p w14:paraId="05D53F7B" w14:textId="77777777" w:rsidR="00AB2E1C" w:rsidRPr="00AB2E1C" w:rsidRDefault="00AB2E1C" w:rsidP="00AB2E1C">
      <w:pPr>
        <w:numPr>
          <w:ilvl w:val="0"/>
          <w:numId w:val="2"/>
        </w:numPr>
        <w:contextualSpacing/>
        <w:jc w:val="both"/>
      </w:pPr>
      <w:r w:rsidRPr="00AB2E1C">
        <w:t>przyjmowania do pracy/współpracy u administratora nowej osoby fizycznej, bez względu na podstawę prawną zatrudnienia/współpracy (umowa o pracę, umowa cywilnoprawna, kontrakt menedżerski, staż, praktyka).</w:t>
      </w:r>
    </w:p>
    <w:p w14:paraId="60F110C6" w14:textId="77777777" w:rsidR="00AB2E1C" w:rsidRPr="00AB2E1C" w:rsidRDefault="00AB2E1C" w:rsidP="00AB2E1C">
      <w:pPr>
        <w:numPr>
          <w:ilvl w:val="0"/>
          <w:numId w:val="4"/>
        </w:numPr>
        <w:contextualSpacing/>
        <w:jc w:val="both"/>
      </w:pPr>
      <w:r w:rsidRPr="00AB2E1C">
        <w:t xml:space="preserve">Ilekroć w Procedurze mowa jest o pracowniku, pracy uregulowania te mają odpowiednie zastosowanie również do osób, z którymi administrator współpracuje na innej podstawie niż umowa o pracę, w szczególności chodzi tu o umowy cywilnoprawne, odbywanie praktyk, staży, świadczenie wolontariatu. </w:t>
      </w:r>
    </w:p>
    <w:p w14:paraId="1B1D5386" w14:textId="77777777" w:rsidR="00AB2E1C" w:rsidRPr="00AB2E1C" w:rsidRDefault="00AB2E1C" w:rsidP="00AB2E1C">
      <w:pPr>
        <w:numPr>
          <w:ilvl w:val="0"/>
          <w:numId w:val="4"/>
        </w:numPr>
        <w:contextualSpacing/>
        <w:jc w:val="both"/>
      </w:pPr>
      <w:r w:rsidRPr="00AB2E1C">
        <w:t xml:space="preserve">Powyższe czynności dokonywane są odpowiednio przez </w:t>
      </w:r>
      <w:r w:rsidR="00451689">
        <w:t>A</w:t>
      </w:r>
      <w:r w:rsidR="0065256F">
        <w:t xml:space="preserve">dministratora / </w:t>
      </w:r>
      <w:r w:rsidRPr="00AB2E1C">
        <w:t xml:space="preserve">kierownika danego działu lub dział kadr / osobę prowadzącą sprawy kadrowe u administratora. </w:t>
      </w:r>
    </w:p>
    <w:p w14:paraId="4F19FC1E" w14:textId="77777777" w:rsidR="00AB2E1C" w:rsidRPr="00AB2E1C" w:rsidRDefault="00AB2E1C" w:rsidP="00AB2E1C">
      <w:pPr>
        <w:ind w:left="720"/>
        <w:contextualSpacing/>
      </w:pPr>
    </w:p>
    <w:p w14:paraId="32E9ECD5" w14:textId="77777777" w:rsidR="00AB2E1C" w:rsidRPr="00AB2E1C" w:rsidRDefault="00AB2E1C" w:rsidP="00AB2E1C">
      <w:pPr>
        <w:numPr>
          <w:ilvl w:val="0"/>
          <w:numId w:val="3"/>
        </w:numPr>
        <w:contextualSpacing/>
        <w:rPr>
          <w:b/>
          <w:bCs/>
        </w:rPr>
      </w:pPr>
      <w:r w:rsidRPr="00AB2E1C">
        <w:rPr>
          <w:b/>
          <w:bCs/>
        </w:rPr>
        <w:t xml:space="preserve">Rekrutacja </w:t>
      </w:r>
    </w:p>
    <w:p w14:paraId="532F6A5D" w14:textId="77777777" w:rsidR="00AB2E1C" w:rsidRPr="00AB2E1C" w:rsidRDefault="00AB2E1C" w:rsidP="00AB2E1C">
      <w:pPr>
        <w:ind w:left="1080"/>
        <w:contextualSpacing/>
        <w:rPr>
          <w:b/>
          <w:bCs/>
        </w:rPr>
      </w:pPr>
    </w:p>
    <w:p w14:paraId="5D105A75" w14:textId="77777777" w:rsidR="00AB2E1C" w:rsidRPr="00AB2E1C" w:rsidRDefault="00AB2E1C" w:rsidP="00AB2E1C">
      <w:pPr>
        <w:numPr>
          <w:ilvl w:val="0"/>
          <w:numId w:val="6"/>
        </w:numPr>
        <w:contextualSpacing/>
        <w:jc w:val="both"/>
        <w:rPr>
          <w:bCs/>
        </w:rPr>
      </w:pPr>
      <w:r w:rsidRPr="00AB2E1C">
        <w:rPr>
          <w:bCs/>
        </w:rPr>
        <w:t>W przypadku prowadzenia rekrutacji Administrator w treści ogłoszenia zamieszcza następujące informacje:</w:t>
      </w:r>
    </w:p>
    <w:p w14:paraId="576B3130" w14:textId="77777777" w:rsidR="00AB2E1C" w:rsidRPr="00AB2E1C" w:rsidRDefault="00AB2E1C" w:rsidP="00AB2E1C">
      <w:pPr>
        <w:numPr>
          <w:ilvl w:val="0"/>
          <w:numId w:val="7"/>
        </w:numPr>
        <w:contextualSpacing/>
        <w:jc w:val="both"/>
        <w:rPr>
          <w:bCs/>
        </w:rPr>
      </w:pPr>
      <w:r w:rsidRPr="00AB2E1C">
        <w:rPr>
          <w:bCs/>
        </w:rPr>
        <w:t>Klauzulę informacyjną dotyczącą przetwarzania danych osobowych dostosowaną do formy zatrudnienia i rodzaju prowadzonej rekrutacji; (wzór załącznik nr 1b).</w:t>
      </w:r>
    </w:p>
    <w:p w14:paraId="464AF3DA" w14:textId="77777777" w:rsidR="00AB2E1C" w:rsidRPr="00AB2E1C" w:rsidRDefault="00AB2E1C" w:rsidP="00AB2E1C">
      <w:pPr>
        <w:numPr>
          <w:ilvl w:val="0"/>
          <w:numId w:val="7"/>
        </w:numPr>
        <w:contextualSpacing/>
        <w:jc w:val="both"/>
        <w:rPr>
          <w:bCs/>
        </w:rPr>
      </w:pPr>
      <w:r w:rsidRPr="00AB2E1C">
        <w:rPr>
          <w:bCs/>
        </w:rPr>
        <w:t>Wzory zgód</w:t>
      </w:r>
      <w:r w:rsidRPr="00AB2E1C">
        <w:t xml:space="preserve"> </w:t>
      </w:r>
      <w:r w:rsidRPr="00AB2E1C">
        <w:rPr>
          <w:bCs/>
        </w:rPr>
        <w:t>na przetwarzanie danych osobowych w celach rekrutacyjnych, jakich winni udzielać kandydaci Administratorowi (wzór załącznik nr 1c).</w:t>
      </w:r>
    </w:p>
    <w:p w14:paraId="4479BDDF" w14:textId="77777777" w:rsidR="00AB2E1C" w:rsidRPr="00AB2E1C" w:rsidRDefault="00AB2E1C" w:rsidP="00AB2E1C">
      <w:pPr>
        <w:numPr>
          <w:ilvl w:val="0"/>
          <w:numId w:val="6"/>
        </w:numPr>
        <w:contextualSpacing/>
        <w:jc w:val="both"/>
        <w:rPr>
          <w:bCs/>
        </w:rPr>
      </w:pPr>
      <w:r w:rsidRPr="00AB2E1C">
        <w:rPr>
          <w:bCs/>
        </w:rPr>
        <w:t xml:space="preserve">Zgody na przetwarzanie danych osobowych mogą być udzielane w formie elektronicznej lub papierowej. </w:t>
      </w:r>
    </w:p>
    <w:p w14:paraId="0D75FF63" w14:textId="77777777" w:rsidR="00AB2E1C" w:rsidRPr="00AB2E1C" w:rsidRDefault="00AB2E1C" w:rsidP="00AB2E1C">
      <w:pPr>
        <w:numPr>
          <w:ilvl w:val="0"/>
          <w:numId w:val="6"/>
        </w:numPr>
        <w:contextualSpacing/>
        <w:jc w:val="both"/>
        <w:rPr>
          <w:bCs/>
        </w:rPr>
      </w:pPr>
      <w:r w:rsidRPr="00AB2E1C">
        <w:rPr>
          <w:bCs/>
        </w:rPr>
        <w:t>Administrator realizuje obowiązek informacyjny względem kandydatów do pracy</w:t>
      </w:r>
      <w:r w:rsidR="002B0246">
        <w:rPr>
          <w:bCs/>
        </w:rPr>
        <w:t xml:space="preserve"> </w:t>
      </w:r>
      <w:r w:rsidRPr="00AB2E1C">
        <w:rPr>
          <w:bCs/>
        </w:rPr>
        <w:t xml:space="preserve">i udostępnia wzór zgód na przetwarzanie danych osobowych poprzez ich przekazanie w trakcie prowadzonej rekrutacji, np. umieszczenie treści obowiązku informacyjnego na stronie www, w ogłoszeniu o pracę, przesłanie przy użyciu wiadomości e-mail. </w:t>
      </w:r>
    </w:p>
    <w:p w14:paraId="02D3379C" w14:textId="77777777" w:rsidR="00AB2E1C" w:rsidRPr="00AB2E1C" w:rsidRDefault="00AB2E1C" w:rsidP="00AB2E1C">
      <w:pPr>
        <w:ind w:left="1080"/>
        <w:contextualSpacing/>
        <w:rPr>
          <w:b/>
          <w:bCs/>
        </w:rPr>
      </w:pPr>
    </w:p>
    <w:p w14:paraId="7C090973" w14:textId="77777777" w:rsidR="00AB2E1C" w:rsidRDefault="00AB2E1C" w:rsidP="002A50AD">
      <w:pPr>
        <w:numPr>
          <w:ilvl w:val="0"/>
          <w:numId w:val="3"/>
        </w:numPr>
        <w:contextualSpacing/>
        <w:rPr>
          <w:b/>
          <w:bCs/>
        </w:rPr>
      </w:pPr>
      <w:r w:rsidRPr="00AB2E1C">
        <w:rPr>
          <w:b/>
          <w:bCs/>
        </w:rPr>
        <w:t>Warunki dopuszczenia do przetwarzania danych osobowych</w:t>
      </w:r>
    </w:p>
    <w:p w14:paraId="01BC8050" w14:textId="77777777" w:rsidR="002A50AD" w:rsidRPr="002A50AD" w:rsidRDefault="002A50AD" w:rsidP="002A50AD">
      <w:pPr>
        <w:ind w:left="1080"/>
        <w:contextualSpacing/>
        <w:rPr>
          <w:b/>
          <w:bCs/>
        </w:rPr>
      </w:pPr>
    </w:p>
    <w:p w14:paraId="37932719" w14:textId="77777777" w:rsidR="00AB2E1C" w:rsidRPr="00AB2E1C" w:rsidRDefault="00AB2E1C" w:rsidP="00AB2E1C">
      <w:pPr>
        <w:numPr>
          <w:ilvl w:val="0"/>
          <w:numId w:val="5"/>
        </w:numPr>
        <w:contextualSpacing/>
        <w:jc w:val="both"/>
        <w:rPr>
          <w:b/>
          <w:bCs/>
        </w:rPr>
      </w:pPr>
      <w:r w:rsidRPr="00AB2E1C">
        <w:t xml:space="preserve">Przed dopuszczeniem do pracy, niezależnie od przepisów prawa pracy, Administrator zobowiązany jest zrealizować następujące obowiązki wynikające z przepisów dotyczących ochrony danych osobowych: </w:t>
      </w:r>
    </w:p>
    <w:p w14:paraId="234FC01B" w14:textId="77777777" w:rsidR="00964696" w:rsidRDefault="00AB2E1C" w:rsidP="00964696">
      <w:pPr>
        <w:numPr>
          <w:ilvl w:val="0"/>
          <w:numId w:val="1"/>
        </w:numPr>
        <w:spacing w:line="276" w:lineRule="auto"/>
        <w:contextualSpacing/>
        <w:jc w:val="both"/>
      </w:pPr>
      <w:r w:rsidRPr="00AB2E1C">
        <w:t xml:space="preserve">Zapoznaje osobę z dokumentem </w:t>
      </w:r>
      <w:r w:rsidRPr="00AB2E1C">
        <w:rPr>
          <w:i/>
        </w:rPr>
        <w:t xml:space="preserve">„Polityka Ochrony Danych Osobowych” </w:t>
      </w:r>
      <w:r w:rsidRPr="00AB2E1C">
        <w:t>w sposób przyjęty w danym zakładzie pracy (wysłanie dokumentu mailem, zapoznanie się na miejscu</w:t>
      </w:r>
      <w:r w:rsidR="005D7E57">
        <w:t>, szkolenie</w:t>
      </w:r>
      <w:r w:rsidRPr="00AB2E1C">
        <w:t xml:space="preserve"> itp.). Fakt zapoznania się z dokumentacją, osoba potwierdza poprzez złożenie podpisu według wzoru z załącznika nr</w:t>
      </w:r>
      <w:r w:rsidRPr="00AB2E1C">
        <w:rPr>
          <w:i/>
        </w:rPr>
        <w:t xml:space="preserve"> </w:t>
      </w:r>
      <w:r w:rsidRPr="00AB2E1C">
        <w:t>1l</w:t>
      </w:r>
      <w:r w:rsidRPr="00AB2E1C">
        <w:rPr>
          <w:i/>
        </w:rPr>
        <w:t xml:space="preserve"> – </w:t>
      </w:r>
      <w:r w:rsidRPr="00AB2E1C">
        <w:t xml:space="preserve">kolumna nr 1 w tabeli - potwierdzenie zapoznania się z polityką ochrony danych. </w:t>
      </w:r>
    </w:p>
    <w:p w14:paraId="6ECA8FFF" w14:textId="2A9BE944" w:rsidR="004825E2" w:rsidRDefault="00964696" w:rsidP="00EA373B">
      <w:pPr>
        <w:pStyle w:val="Akapitzlist"/>
        <w:numPr>
          <w:ilvl w:val="0"/>
          <w:numId w:val="1"/>
        </w:numPr>
        <w:spacing w:after="0"/>
        <w:jc w:val="both"/>
      </w:pPr>
      <w:r>
        <w:lastRenderedPageBreak/>
        <w:t>Osoba przetwarzająca dane osobowe winna być</w:t>
      </w:r>
      <w:r w:rsidR="00AB2E1C" w:rsidRPr="00AB2E1C">
        <w:t xml:space="preserve"> przeszkolona w zakresie przepis</w:t>
      </w:r>
      <w:r>
        <w:t xml:space="preserve">ów prawnych oraz wprowadzonych </w:t>
      </w:r>
      <w:r w:rsidR="00AB2E1C" w:rsidRPr="00AB2E1C">
        <w:t xml:space="preserve">u Administratora zasad dotyczących ochrony danych osobowych </w:t>
      </w:r>
      <w:r w:rsidR="00AB2E1C" w:rsidRPr="00EA373B">
        <w:rPr>
          <w:rFonts w:ascii="Calibri" w:hAnsi="Calibri"/>
        </w:rPr>
        <w:t>co musi zostać potwierdzone zdanym przez nią testem. Szkolenie i test może zostać przeprowadzone osobiście</w:t>
      </w:r>
      <w:r w:rsidRPr="00EA373B">
        <w:rPr>
          <w:rFonts w:ascii="Calibri" w:hAnsi="Calibri"/>
        </w:rPr>
        <w:t xml:space="preserve"> przez IOD lub za pomocą materiałów szkoleniowych oraz testem. Istniej</w:t>
      </w:r>
      <w:r w:rsidR="005F4A57" w:rsidRPr="00EA373B">
        <w:rPr>
          <w:rFonts w:ascii="Calibri" w:hAnsi="Calibri"/>
        </w:rPr>
        <w:t xml:space="preserve">e także możliwość przeszkolenia </w:t>
      </w:r>
      <w:r w:rsidR="00AB2E1C" w:rsidRPr="00EA373B">
        <w:rPr>
          <w:rFonts w:ascii="Calibri" w:hAnsi="Calibri"/>
        </w:rPr>
        <w:t xml:space="preserve">przy wykorzystaniu informatycznej platformy szkoleniowej </w:t>
      </w:r>
      <w:hyperlink r:id="rId7" w:history="1">
        <w:r w:rsidRPr="00EA373B">
          <w:rPr>
            <w:rStyle w:val="Hipercze"/>
            <w:rFonts w:ascii="Calibri" w:hAnsi="Calibri"/>
          </w:rPr>
          <w:t>https://szkolenia.exlegeiod.pl/</w:t>
        </w:r>
      </w:hyperlink>
      <w:r w:rsidRPr="00EA373B">
        <w:rPr>
          <w:rFonts w:ascii="Calibri" w:hAnsi="Calibri"/>
        </w:rPr>
        <w:t xml:space="preserve"> </w:t>
      </w:r>
      <w:r w:rsidR="00AB2E1C" w:rsidRPr="00EA373B">
        <w:rPr>
          <w:rFonts w:ascii="Calibri" w:hAnsi="Calibri"/>
        </w:rPr>
        <w:t>(e-learning).</w:t>
      </w:r>
      <w:r w:rsidRPr="00EA373B">
        <w:rPr>
          <w:rFonts w:ascii="Calibri" w:hAnsi="Calibri" w:cs="Times New Roman"/>
        </w:rPr>
        <w:t xml:space="preserve"> Uczestnictwo w e-szkoleniu zapewni spełnienie obowiązku prawnego, nakazującej aby do przetwarzania danych osobowych były dopuszczone wyłącznie osoby uprzednio przeszkolone z przedmiotowej tematyki.</w:t>
      </w:r>
      <w:r>
        <w:t xml:space="preserve"> </w:t>
      </w:r>
      <w:r w:rsidR="00EA373B" w:rsidRPr="00EA373B">
        <w:t>Fakt zapoznania osób przetwarzających dane osobowe z przepisami w zakresie ochrony danych potwierdza załącznik</w:t>
      </w:r>
      <w:r w:rsidR="004825E2">
        <w:t xml:space="preserve"> nr</w:t>
      </w:r>
      <w:r w:rsidR="004825E2" w:rsidRPr="004825E2">
        <w:t>.</w:t>
      </w:r>
      <w:r w:rsidR="00EA373B" w:rsidRPr="004825E2">
        <w:t xml:space="preserve"> 1d</w:t>
      </w:r>
      <w:r w:rsidR="004825E2" w:rsidRPr="004825E2">
        <w:t xml:space="preserve">. Fakultatywnie administrator może zastosować załącznik nr. 1 e służący do </w:t>
      </w:r>
      <w:r w:rsidR="004825E2" w:rsidRPr="004825E2">
        <w:rPr>
          <w:rFonts w:cstheme="minorHAnsi"/>
        </w:rPr>
        <w:t>potwierdzeni</w:t>
      </w:r>
      <w:r w:rsidR="004825E2" w:rsidRPr="004825E2">
        <w:rPr>
          <w:rFonts w:cstheme="minorHAnsi"/>
        </w:rPr>
        <w:t>a</w:t>
      </w:r>
      <w:r w:rsidR="004825E2" w:rsidRPr="004825E2">
        <w:rPr>
          <w:rFonts w:cstheme="minorHAnsi"/>
        </w:rPr>
        <w:t xml:space="preserve"> odbycia instruktażu</w:t>
      </w:r>
      <w:r w:rsidR="004825E2">
        <w:rPr>
          <w:rFonts w:cstheme="minorHAnsi"/>
        </w:rPr>
        <w:t xml:space="preserve"> oraz</w:t>
      </w:r>
      <w:r w:rsidR="004825E2" w:rsidRPr="004825E2">
        <w:rPr>
          <w:rFonts w:cstheme="minorHAnsi"/>
        </w:rPr>
        <w:t xml:space="preserve"> zapoznania się z zasadami przetwarzania i ochrony danych osobowych.</w:t>
      </w:r>
    </w:p>
    <w:p w14:paraId="4799FD0B" w14:textId="77777777" w:rsidR="00EE68DA" w:rsidRDefault="00324DCE" w:rsidP="00EA373B">
      <w:pPr>
        <w:numPr>
          <w:ilvl w:val="0"/>
          <w:numId w:val="1"/>
        </w:numPr>
        <w:spacing w:after="0" w:line="276" w:lineRule="auto"/>
        <w:contextualSpacing/>
        <w:jc w:val="both"/>
      </w:pPr>
      <w:r>
        <w:t>D</w:t>
      </w:r>
      <w:r w:rsidR="00AB2E1C" w:rsidRPr="00AB2E1C">
        <w:t xml:space="preserve">anej osobie administrator musi nadać upoważnienie i wydać polecenie w zakresie </w:t>
      </w:r>
      <w:r w:rsidR="00BC57E9">
        <w:t xml:space="preserve">przetwarzania danych osobowych </w:t>
      </w:r>
      <w:r w:rsidR="00EE68DA">
        <w:t>według wzorów z załączników</w:t>
      </w:r>
      <w:r w:rsidR="00BC57E9" w:rsidRPr="00AB2E1C">
        <w:t xml:space="preserve"> nr</w:t>
      </w:r>
      <w:r w:rsidR="00BC57E9" w:rsidRPr="00AB2E1C">
        <w:rPr>
          <w:i/>
        </w:rPr>
        <w:t xml:space="preserve"> </w:t>
      </w:r>
      <w:r w:rsidR="00BC57E9">
        <w:rPr>
          <w:i/>
        </w:rPr>
        <w:t xml:space="preserve">1ł. </w:t>
      </w:r>
      <w:r w:rsidR="00EE68DA">
        <w:rPr>
          <w:i/>
        </w:rPr>
        <w:t>(</w:t>
      </w:r>
      <w:r w:rsidR="00EE68DA" w:rsidRPr="00EE68DA">
        <w:t>do danych zwykłych oraz szczególnych).</w:t>
      </w:r>
      <w:r w:rsidR="00EE68DA">
        <w:t xml:space="preserve"> </w:t>
      </w:r>
      <w:r w:rsidR="00BC57E9" w:rsidRPr="005D7E57">
        <w:t>Odwołanie upoważnienia i polecenia według wzoru z załącznika nr 1łł.</w:t>
      </w:r>
    </w:p>
    <w:p w14:paraId="798D714C" w14:textId="77777777" w:rsidR="008C23FE" w:rsidRPr="005D7E57" w:rsidRDefault="00EE68DA" w:rsidP="00EE68DA">
      <w:pPr>
        <w:numPr>
          <w:ilvl w:val="0"/>
          <w:numId w:val="1"/>
        </w:numPr>
        <w:spacing w:line="276" w:lineRule="auto"/>
        <w:contextualSpacing/>
        <w:jc w:val="both"/>
      </w:pPr>
      <w:r w:rsidRPr="00EE68DA">
        <w:rPr>
          <w:rStyle w:val="hgkelc"/>
          <w:bCs/>
        </w:rPr>
        <w:t>Przebywanie</w:t>
      </w:r>
      <w:r w:rsidRPr="00EE68DA">
        <w:rPr>
          <w:rStyle w:val="hgkelc"/>
        </w:rPr>
        <w:t xml:space="preserve"> osób, nieuprawnionych w obszarze przetwarzania danych jest dopuszczalne w obecności osoby upoważnionej do </w:t>
      </w:r>
      <w:r w:rsidRPr="00EE68DA">
        <w:rPr>
          <w:rStyle w:val="hgkelc"/>
          <w:bCs/>
        </w:rPr>
        <w:t>przetwarzania danych</w:t>
      </w:r>
      <w:r w:rsidRPr="00EE68DA">
        <w:rPr>
          <w:rStyle w:val="hgkelc"/>
        </w:rPr>
        <w:t xml:space="preserve"> osobowych</w:t>
      </w:r>
      <w:r>
        <w:rPr>
          <w:rStyle w:val="hgkelc"/>
        </w:rPr>
        <w:t xml:space="preserve"> lub </w:t>
      </w:r>
      <w:r w:rsidRPr="00EE68DA">
        <w:rPr>
          <w:rStyle w:val="hgkelc"/>
        </w:rPr>
        <w:t xml:space="preserve">za zgodą Administratora </w:t>
      </w:r>
      <w:r>
        <w:t>według wzor</w:t>
      </w:r>
      <w:r w:rsidR="0017445F">
        <w:t>u z załącznika</w:t>
      </w:r>
      <w:r w:rsidR="00BC57E9" w:rsidRPr="005D7E57">
        <w:t xml:space="preserve"> nr</w:t>
      </w:r>
      <w:r w:rsidR="005D7E57">
        <w:t xml:space="preserve"> </w:t>
      </w:r>
      <w:r w:rsidR="0017445F">
        <w:t>1m</w:t>
      </w:r>
      <w:r w:rsidR="00BC57E9" w:rsidRPr="005D7E57">
        <w:t>.</w:t>
      </w:r>
      <w:r w:rsidR="0017445F">
        <w:t xml:space="preserve"> Unieważnienie zgody według wzoru z załącznika</w:t>
      </w:r>
      <w:r w:rsidR="0017445F" w:rsidRPr="005D7E57">
        <w:t xml:space="preserve"> nr</w:t>
      </w:r>
      <w:r w:rsidR="0017445F">
        <w:t xml:space="preserve"> 1mm.</w:t>
      </w:r>
    </w:p>
    <w:p w14:paraId="42407CCD" w14:textId="77777777" w:rsidR="008C23FE" w:rsidRPr="008C23FE" w:rsidRDefault="00BC57E9" w:rsidP="008C23FE">
      <w:pPr>
        <w:numPr>
          <w:ilvl w:val="0"/>
          <w:numId w:val="1"/>
        </w:numPr>
        <w:spacing w:line="276" w:lineRule="auto"/>
        <w:contextualSpacing/>
        <w:jc w:val="both"/>
      </w:pPr>
      <w:r>
        <w:t>F</w:t>
      </w:r>
      <w:r w:rsidR="00AB2E1C" w:rsidRPr="00AB2E1C">
        <w:t xml:space="preserve">akt zapoznania się z </w:t>
      </w:r>
      <w:r w:rsidR="0017445F">
        <w:t xml:space="preserve">nadanym </w:t>
      </w:r>
      <w:r w:rsidR="00AB2E1C" w:rsidRPr="00AB2E1C">
        <w:t xml:space="preserve">upoważnieniem </w:t>
      </w:r>
      <w:r w:rsidR="005D7E57">
        <w:t xml:space="preserve">i poleceniem </w:t>
      </w:r>
      <w:r w:rsidR="00AB2E1C" w:rsidRPr="00AB2E1C">
        <w:t xml:space="preserve">osoba potwierdza poprzez złożenie podpisu na formularzu według wzoru z załącznika nr 1l </w:t>
      </w:r>
      <w:r w:rsidR="00AB2E1C" w:rsidRPr="008C23FE">
        <w:rPr>
          <w:i/>
        </w:rPr>
        <w:t xml:space="preserve">– </w:t>
      </w:r>
      <w:r w:rsidR="00AB2E1C" w:rsidRPr="00AB2E1C">
        <w:t>kolumna nr 3 w tabeli.</w:t>
      </w:r>
    </w:p>
    <w:p w14:paraId="3F00989E" w14:textId="77777777" w:rsidR="00AB2E1C" w:rsidRPr="008C23FE" w:rsidRDefault="008C23FE" w:rsidP="008C23FE">
      <w:pPr>
        <w:numPr>
          <w:ilvl w:val="0"/>
          <w:numId w:val="1"/>
        </w:numPr>
        <w:spacing w:line="276" w:lineRule="auto"/>
        <w:contextualSpacing/>
        <w:jc w:val="both"/>
      </w:pPr>
      <w:r>
        <w:t>D</w:t>
      </w:r>
      <w:r w:rsidR="00AB2E1C" w:rsidRPr="00AB2E1C">
        <w:t>ana osoba musi podpisać oświadczenie o zachowaniu poufności, zgodnie ze wzorem stanowiącym załącznik nr</w:t>
      </w:r>
      <w:r w:rsidR="004C17C9">
        <w:t xml:space="preserve"> 1n</w:t>
      </w:r>
      <w:r>
        <w:t>.</w:t>
      </w:r>
      <w:r w:rsidR="00AB2E1C" w:rsidRPr="00AB2E1C">
        <w:t xml:space="preserve"> </w:t>
      </w:r>
      <w:r w:rsidR="005D7E57">
        <w:t>F</w:t>
      </w:r>
      <w:r w:rsidR="00AB2E1C" w:rsidRPr="00AB2E1C">
        <w:t xml:space="preserve">akt odbioru oświadczenia osoba potwierdza poprzez złożenie podpisu na formularzu według wzoru z załącznika nr </w:t>
      </w:r>
      <w:r w:rsidR="00AB2E1C" w:rsidRPr="008C23FE">
        <w:rPr>
          <w:i/>
        </w:rPr>
        <w:t xml:space="preserve">„1l. Ewidencja odbioru oświadczeń” – </w:t>
      </w:r>
      <w:r w:rsidR="00AB2E1C" w:rsidRPr="00AB2E1C">
        <w:t>kolumna nr 2 w tabeli.</w:t>
      </w:r>
      <w:r w:rsidR="00AB2E1C" w:rsidRPr="008C23FE">
        <w:rPr>
          <w:i/>
        </w:rPr>
        <w:t xml:space="preserve"> </w:t>
      </w:r>
    </w:p>
    <w:p w14:paraId="14EBBE91" w14:textId="77777777" w:rsidR="005F4A57" w:rsidRPr="005F4A57" w:rsidRDefault="008C23FE" w:rsidP="008C23FE">
      <w:pPr>
        <w:numPr>
          <w:ilvl w:val="0"/>
          <w:numId w:val="1"/>
        </w:numPr>
        <w:spacing w:line="276" w:lineRule="auto"/>
        <w:contextualSpacing/>
        <w:jc w:val="both"/>
      </w:pPr>
      <w:r w:rsidRPr="005F4A57">
        <w:rPr>
          <w:sz w:val="21"/>
          <w:szCs w:val="21"/>
        </w:rPr>
        <w:t xml:space="preserve">Niezależnie od wskazanych wyżej obowiązków, Administrator nadaje upoważnienia lub wyraża zgody realizując zasady obowiązujące w odrębnych procedurach i politykach przyjętych przez Administratora, w szczególności w Procedurze korzystania ze sprzętu IT i systemów </w:t>
      </w:r>
      <w:r w:rsidR="005F4A57">
        <w:rPr>
          <w:sz w:val="21"/>
          <w:szCs w:val="21"/>
        </w:rPr>
        <w:t>.</w:t>
      </w:r>
    </w:p>
    <w:p w14:paraId="32FA79FF" w14:textId="77777777" w:rsidR="008C23FE" w:rsidRPr="005D7E57" w:rsidRDefault="008C23FE" w:rsidP="008C23FE">
      <w:pPr>
        <w:numPr>
          <w:ilvl w:val="0"/>
          <w:numId w:val="1"/>
        </w:numPr>
        <w:spacing w:line="276" w:lineRule="auto"/>
        <w:contextualSpacing/>
        <w:jc w:val="both"/>
      </w:pPr>
      <w:r>
        <w:t>J</w:t>
      </w:r>
      <w:r w:rsidRPr="005F4A57">
        <w:rPr>
          <w:sz w:val="21"/>
          <w:szCs w:val="21"/>
        </w:rPr>
        <w:t xml:space="preserve">eżeli jedyną z możliwych podstawą przetwarzania pewnych danych osobowych w związku z zatrudnieniem jest zgoda pracownika, Administrator przekazuje pracownikowi wzór zgody </w:t>
      </w:r>
      <w:r w:rsidR="0017445F">
        <w:t>według wzoru</w:t>
      </w:r>
      <w:r w:rsidR="005D7E57">
        <w:t xml:space="preserve"> nr </w:t>
      </w:r>
      <w:r w:rsidR="0017445F">
        <w:t>1o lub 1oo.</w:t>
      </w:r>
    </w:p>
    <w:p w14:paraId="6005AD8C" w14:textId="77777777" w:rsidR="004825E2" w:rsidRDefault="0027301D" w:rsidP="004825E2">
      <w:pPr>
        <w:numPr>
          <w:ilvl w:val="0"/>
          <w:numId w:val="1"/>
        </w:numPr>
        <w:spacing w:line="276" w:lineRule="auto"/>
        <w:contextualSpacing/>
        <w:jc w:val="both"/>
      </w:pPr>
      <w:r>
        <w:t>Administrator winny jest</w:t>
      </w:r>
      <w:r w:rsidR="00AB2E1C" w:rsidRPr="00AB2E1C">
        <w:t xml:space="preserve"> </w:t>
      </w:r>
      <w:r w:rsidR="0017445F">
        <w:t>zrealizować</w:t>
      </w:r>
      <w:r>
        <w:t xml:space="preserve"> </w:t>
      </w:r>
      <w:r w:rsidR="00AB2E1C" w:rsidRPr="00AB2E1C">
        <w:t>obowiązek informacyjny względem, odpowiednio, osób zatrudnionych na umowach o pracę, osób współpracujących na umowach cywilnoprawnych lub stażystów czy praktykantów (załącznik 1f-1h do niniejszej procedury, a także przy ZFŚS jeżeli funkcjonuje – załącznik nr 1i</w:t>
      </w:r>
      <w:bookmarkStart w:id="0" w:name="_Hlk518027938"/>
      <w:r w:rsidR="008C23FE">
        <w:t>. F</w:t>
      </w:r>
      <w:r w:rsidR="00AB2E1C" w:rsidRPr="00AB2E1C">
        <w:t>akt</w:t>
      </w:r>
      <w:r w:rsidR="008C23FE">
        <w:t xml:space="preserve"> </w:t>
      </w:r>
      <w:r w:rsidR="005F4A57">
        <w:t xml:space="preserve"> zapoznania się </w:t>
      </w:r>
      <w:r w:rsidR="00AB2E1C" w:rsidRPr="00AB2E1C">
        <w:t xml:space="preserve">potwierdza poprzez złożenie podpisu według wzoru z załącznika nr </w:t>
      </w:r>
      <w:r w:rsidR="00AB2E1C" w:rsidRPr="008C23FE">
        <w:rPr>
          <w:i/>
        </w:rPr>
        <w:t>„1l. Ewidencja odbioru oświadczeń”</w:t>
      </w:r>
      <w:r w:rsidR="00AB2E1C" w:rsidRPr="00AB2E1C">
        <w:t xml:space="preserve"> </w:t>
      </w:r>
      <w:bookmarkEnd w:id="0"/>
      <w:r w:rsidR="00AB2E1C" w:rsidRPr="00AB2E1C">
        <w:t>(kolumna nr 2 w tabeli).</w:t>
      </w:r>
    </w:p>
    <w:p w14:paraId="49C7CDF7" w14:textId="316F4D3E" w:rsidR="00AB2E1C" w:rsidRPr="005F4A57" w:rsidRDefault="00AB2E1C" w:rsidP="004825E2">
      <w:pPr>
        <w:pStyle w:val="Akapitzlist"/>
        <w:numPr>
          <w:ilvl w:val="0"/>
          <w:numId w:val="5"/>
        </w:numPr>
        <w:spacing w:line="276" w:lineRule="auto"/>
        <w:jc w:val="both"/>
      </w:pPr>
      <w:r w:rsidRPr="00AB2E1C">
        <w:t xml:space="preserve">Jeżeli Administrator posiada monitoring winien zapoznać pracownika z klauzulą informacyjną dotyczącą stosowanego monitoringu (art. 13 RODO), wzór załącznik nr 1j. Nadto pracodawca przed dopuszczeniem pracownika do pracy jest zobowiązany przekazać mu na piśmie informacje, o których mowa w § 6 art. 22 (2) Kodeksu pracy – tj. cele, zakres oraz sposób zastosowania monitoringu. Zgodnie z §  3 pkt 2 lit. f) rozporządzenia Ministra Rodziny, Pracy i polityki społecznej z dnia 10 grudnia 2018 r. w sprawie dokumentacji pracowniczej (Dz.U.2018.2369 z dnia 2018.12.19) </w:t>
      </w:r>
      <w:r w:rsidRPr="004825E2">
        <w:rPr>
          <w:b/>
        </w:rPr>
        <w:t xml:space="preserve">w części B akt osobowych pracownika winno znajdować się potwierdzenie poinformowania pracownika: o celu, zakresie oraz sposobie zastosowania monitoringu (art. 22(2) § 8 Kodeksu pracy) (wzór potwierdzenia -  załącznik nr 1k do Procedury). </w:t>
      </w:r>
    </w:p>
    <w:p w14:paraId="1135682E" w14:textId="77777777" w:rsidR="00B70DE1" w:rsidRDefault="00B70DE1" w:rsidP="008124C3">
      <w:pPr>
        <w:spacing w:line="276" w:lineRule="auto"/>
        <w:contextualSpacing/>
        <w:jc w:val="both"/>
      </w:pPr>
    </w:p>
    <w:p w14:paraId="48EA7252" w14:textId="77777777" w:rsidR="00B70DE1" w:rsidRDefault="00B70DE1" w:rsidP="00BC57E9">
      <w:pPr>
        <w:spacing w:line="276" w:lineRule="auto"/>
        <w:ind w:left="720"/>
        <w:contextualSpacing/>
        <w:jc w:val="both"/>
      </w:pPr>
    </w:p>
    <w:p w14:paraId="653083CF" w14:textId="564F4D5A" w:rsidR="00B70DE1" w:rsidRPr="00B70DE1" w:rsidRDefault="00B70DE1" w:rsidP="002A50AD">
      <w:pPr>
        <w:spacing w:line="276" w:lineRule="auto"/>
        <w:ind w:left="720"/>
        <w:contextualSpacing/>
      </w:pPr>
      <w:r w:rsidRPr="00B70DE1">
        <w:rPr>
          <w:b/>
        </w:rPr>
        <w:t>IV.</w:t>
      </w:r>
      <w:r>
        <w:t xml:space="preserve"> </w:t>
      </w:r>
      <w:r w:rsidRPr="00B70DE1">
        <w:rPr>
          <w:b/>
          <w:sz w:val="21"/>
          <w:szCs w:val="21"/>
        </w:rPr>
        <w:t>DOKUMENTACJA PRACOWNICZA</w:t>
      </w:r>
      <w:r>
        <w:rPr>
          <w:b/>
          <w:sz w:val="21"/>
          <w:szCs w:val="21"/>
        </w:rPr>
        <w:t xml:space="preserve"> (OKRES RETENCJI DANYCH)</w:t>
      </w:r>
    </w:p>
    <w:p w14:paraId="113D9C1B" w14:textId="77777777" w:rsidR="00B70DE1" w:rsidRDefault="00B70DE1" w:rsidP="00B70DE1">
      <w:pPr>
        <w:pStyle w:val="Akapitzlist"/>
        <w:numPr>
          <w:ilvl w:val="1"/>
          <w:numId w:val="8"/>
        </w:num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Administrator przechowuje d</w:t>
      </w:r>
      <w:r w:rsidRPr="00FE4152">
        <w:rPr>
          <w:sz w:val="21"/>
          <w:szCs w:val="21"/>
        </w:rPr>
        <w:t xml:space="preserve">okumenty dotyczące ochrony danych osobowych </w:t>
      </w:r>
      <w:r>
        <w:rPr>
          <w:sz w:val="21"/>
          <w:szCs w:val="21"/>
        </w:rPr>
        <w:t xml:space="preserve">pracowników </w:t>
      </w:r>
      <w:r w:rsidRPr="00FE4152">
        <w:rPr>
          <w:sz w:val="21"/>
          <w:szCs w:val="21"/>
        </w:rPr>
        <w:t xml:space="preserve">zgodnie z obowiązującymi przepisami prawa. </w:t>
      </w:r>
    </w:p>
    <w:p w14:paraId="039A6D9C" w14:textId="77777777" w:rsidR="00B70DE1" w:rsidRPr="00E16DD6" w:rsidRDefault="00B70DE1" w:rsidP="00B70DE1">
      <w:pPr>
        <w:pStyle w:val="Akapitzlist"/>
        <w:numPr>
          <w:ilvl w:val="1"/>
          <w:numId w:val="8"/>
        </w:numPr>
        <w:spacing w:line="276" w:lineRule="auto"/>
        <w:jc w:val="both"/>
        <w:rPr>
          <w:sz w:val="21"/>
          <w:szCs w:val="21"/>
        </w:rPr>
      </w:pPr>
      <w:r w:rsidRPr="00E16DD6">
        <w:rPr>
          <w:sz w:val="21"/>
          <w:szCs w:val="21"/>
        </w:rPr>
        <w:t xml:space="preserve">Dokumenty aplikacyjne, w szczególności formularze zgłoszeniowe, CV i listy motywacyjne, są przechowywane w sposób zapewniający bezpieczeństwo przetwarzania danych osobowych zawartych w tych dokumentach oraz przez okres wynikający z treści obowiązku informacyjnego i udzielonej zgody. </w:t>
      </w:r>
    </w:p>
    <w:p w14:paraId="566BBD2E" w14:textId="77777777" w:rsidR="00B70DE1" w:rsidRPr="00E16DD6" w:rsidRDefault="00B70DE1" w:rsidP="00B70DE1">
      <w:pPr>
        <w:pStyle w:val="Akapitzlist"/>
        <w:numPr>
          <w:ilvl w:val="1"/>
          <w:numId w:val="8"/>
        </w:numPr>
        <w:spacing w:line="276" w:lineRule="auto"/>
        <w:jc w:val="both"/>
        <w:rPr>
          <w:sz w:val="21"/>
          <w:szCs w:val="21"/>
        </w:rPr>
      </w:pPr>
      <w:r w:rsidRPr="00E16DD6">
        <w:rPr>
          <w:sz w:val="21"/>
          <w:szCs w:val="21"/>
        </w:rPr>
        <w:t>W przypadku podjęcia decyzji o zniszczeniu dokumentacji:</w:t>
      </w:r>
    </w:p>
    <w:p w14:paraId="7E4580CC" w14:textId="77777777" w:rsidR="00B70DE1" w:rsidRPr="00E16DD6" w:rsidRDefault="00B70DE1" w:rsidP="00B70DE1">
      <w:pPr>
        <w:pStyle w:val="Akapitzlist"/>
        <w:numPr>
          <w:ilvl w:val="2"/>
          <w:numId w:val="8"/>
        </w:numPr>
        <w:spacing w:line="276" w:lineRule="auto"/>
        <w:jc w:val="both"/>
        <w:rPr>
          <w:sz w:val="21"/>
          <w:szCs w:val="21"/>
        </w:rPr>
      </w:pPr>
      <w:r w:rsidRPr="00E16DD6">
        <w:rPr>
          <w:sz w:val="21"/>
          <w:szCs w:val="21"/>
        </w:rPr>
        <w:t>zniszczenie dokumentacji odbywa się w sposób zapewniający ochronę danych osobowych zawartych w dokumentacji podlegającej zniszczeniu,</w:t>
      </w:r>
    </w:p>
    <w:p w14:paraId="4B6B1250" w14:textId="77777777" w:rsidR="00B70DE1" w:rsidRPr="00E16DD6" w:rsidRDefault="00B70DE1" w:rsidP="00B70DE1">
      <w:pPr>
        <w:pStyle w:val="Akapitzlist"/>
        <w:numPr>
          <w:ilvl w:val="2"/>
          <w:numId w:val="8"/>
        </w:numPr>
        <w:spacing w:line="276" w:lineRule="auto"/>
        <w:jc w:val="both"/>
        <w:rPr>
          <w:sz w:val="21"/>
          <w:szCs w:val="21"/>
        </w:rPr>
      </w:pPr>
      <w:r w:rsidRPr="00E16DD6">
        <w:rPr>
          <w:sz w:val="21"/>
          <w:szCs w:val="21"/>
        </w:rPr>
        <w:t xml:space="preserve">dokumentacja podlega usunięciu ze wszystkich nośników na jakich została przekazana; dotyczy to również dokumentów aplikacyjnych przechowywanych na serwerach, dyskach przenośnych i utworzonych kopii zapasowych, jak również wiadomości e-mail, do których załącznikiem </w:t>
      </w:r>
      <w:r>
        <w:rPr>
          <w:sz w:val="21"/>
          <w:szCs w:val="21"/>
        </w:rPr>
        <w:t>jest ta dokumentacja.</w:t>
      </w:r>
    </w:p>
    <w:p w14:paraId="65AA58CF" w14:textId="77777777" w:rsidR="00B70DE1" w:rsidRPr="00E16DD6" w:rsidRDefault="00B70DE1" w:rsidP="00B70DE1">
      <w:pPr>
        <w:pStyle w:val="Akapitzlist"/>
        <w:numPr>
          <w:ilvl w:val="1"/>
          <w:numId w:val="8"/>
        </w:numPr>
        <w:spacing w:line="276" w:lineRule="auto"/>
        <w:jc w:val="both"/>
        <w:rPr>
          <w:sz w:val="21"/>
          <w:szCs w:val="21"/>
        </w:rPr>
      </w:pPr>
      <w:r w:rsidRPr="00E16DD6">
        <w:rPr>
          <w:sz w:val="21"/>
          <w:szCs w:val="21"/>
        </w:rPr>
        <w:t xml:space="preserve">W przypadku podjęcia decyzji o dalszym przechowywaniu dokumentacji, Administrator opiera swoją decyzję na przesłankach </w:t>
      </w:r>
      <w:r>
        <w:rPr>
          <w:sz w:val="21"/>
          <w:szCs w:val="21"/>
        </w:rPr>
        <w:t>legalności</w:t>
      </w:r>
      <w:r w:rsidRPr="00E16DD6">
        <w:rPr>
          <w:sz w:val="21"/>
          <w:szCs w:val="21"/>
        </w:rPr>
        <w:t>., w szczególności:</w:t>
      </w:r>
    </w:p>
    <w:p w14:paraId="531DDD8E" w14:textId="77777777" w:rsidR="00B70DE1" w:rsidRPr="00E16DD6" w:rsidRDefault="00B70DE1" w:rsidP="00B70DE1">
      <w:pPr>
        <w:pStyle w:val="Akapitzlist"/>
        <w:numPr>
          <w:ilvl w:val="2"/>
          <w:numId w:val="8"/>
        </w:num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na przesłance zgody osoby, której dotyczy dana dokumentacja, tj. </w:t>
      </w:r>
      <w:r w:rsidRPr="00E16DD6">
        <w:rPr>
          <w:sz w:val="21"/>
          <w:szCs w:val="21"/>
        </w:rPr>
        <w:t xml:space="preserve">przechowuje dokumentację w dalszym ciągu przez okres na jaki wyrażona została zgoda osoby, której dotyczy dokumentacja, </w:t>
      </w:r>
    </w:p>
    <w:p w14:paraId="3BC9810E" w14:textId="77777777" w:rsidR="00B70DE1" w:rsidRPr="00E16DD6" w:rsidRDefault="00B70DE1" w:rsidP="00B70DE1">
      <w:pPr>
        <w:pStyle w:val="Akapitzlist"/>
        <w:numPr>
          <w:ilvl w:val="2"/>
          <w:numId w:val="8"/>
        </w:num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celu </w:t>
      </w:r>
      <w:r w:rsidRPr="00E16DD6">
        <w:rPr>
          <w:sz w:val="21"/>
          <w:szCs w:val="21"/>
        </w:rPr>
        <w:t>ewentualnego ustalania i dochodzenia roszczeń oraz obrony przed nimi</w:t>
      </w:r>
      <w:r>
        <w:rPr>
          <w:sz w:val="21"/>
          <w:szCs w:val="21"/>
        </w:rPr>
        <w:t xml:space="preserve"> lub w innych celach wynikających z odrębnych przepisów, tj. przechowuje przekazaną</w:t>
      </w:r>
      <w:r w:rsidRPr="00E16DD6">
        <w:rPr>
          <w:sz w:val="21"/>
          <w:szCs w:val="21"/>
        </w:rPr>
        <w:t xml:space="preserve"> dokumentacj</w:t>
      </w:r>
      <w:r>
        <w:rPr>
          <w:sz w:val="21"/>
          <w:szCs w:val="21"/>
        </w:rPr>
        <w:t>ę</w:t>
      </w:r>
      <w:r w:rsidRPr="00E16DD6">
        <w:rPr>
          <w:sz w:val="21"/>
          <w:szCs w:val="21"/>
        </w:rPr>
        <w:t xml:space="preserve"> nie dłużej niż przez okres przedawnienia roszczeń lub wynikający z innych przepisów.</w:t>
      </w:r>
    </w:p>
    <w:p w14:paraId="3C68C237" w14:textId="77777777" w:rsidR="00AB2E1C" w:rsidRPr="00AB2E1C" w:rsidRDefault="00AB2E1C" w:rsidP="00AB2E1C">
      <w:pPr>
        <w:spacing w:line="276" w:lineRule="auto"/>
        <w:jc w:val="right"/>
      </w:pPr>
      <w:r w:rsidRPr="00AB2E1C">
        <w:tab/>
      </w:r>
      <w:r w:rsidRPr="00AB2E1C">
        <w:tab/>
      </w:r>
      <w:r w:rsidRPr="00AB2E1C">
        <w:tab/>
      </w:r>
      <w:r w:rsidRPr="00AB2E1C">
        <w:tab/>
      </w:r>
      <w:r w:rsidRPr="00AB2E1C">
        <w:tab/>
      </w:r>
      <w:r w:rsidRPr="00AB2E1C">
        <w:tab/>
      </w:r>
      <w:r w:rsidRPr="00AB2E1C">
        <w:tab/>
      </w:r>
    </w:p>
    <w:p w14:paraId="19EF8070" w14:textId="77777777" w:rsidR="00AB2E1C" w:rsidRPr="00AB2E1C" w:rsidRDefault="00AB2E1C" w:rsidP="00AB2E1C">
      <w:pPr>
        <w:spacing w:line="276" w:lineRule="auto"/>
        <w:jc w:val="right"/>
      </w:pPr>
      <w:r w:rsidRPr="00AB2E1C">
        <w:t>Zatwierdzam i nakazuję stosować.</w:t>
      </w:r>
    </w:p>
    <w:p w14:paraId="141F14F8" w14:textId="77777777" w:rsidR="00AB2E1C" w:rsidRPr="00AB2E1C" w:rsidRDefault="00AB2E1C" w:rsidP="00AB2E1C">
      <w:pPr>
        <w:tabs>
          <w:tab w:val="center" w:pos="4536"/>
          <w:tab w:val="right" w:pos="9072"/>
        </w:tabs>
        <w:spacing w:after="0" w:line="240" w:lineRule="auto"/>
        <w:ind w:left="5664"/>
        <w:jc w:val="right"/>
      </w:pPr>
      <w:r w:rsidRPr="00AB2E1C">
        <w:t>_______________________________</w:t>
      </w:r>
    </w:p>
    <w:p w14:paraId="07741E20" w14:textId="77777777" w:rsidR="00071553" w:rsidRDefault="00AB2E1C" w:rsidP="008C23FE">
      <w:pPr>
        <w:tabs>
          <w:tab w:val="left" w:pos="4536"/>
          <w:tab w:val="right" w:pos="9072"/>
        </w:tabs>
        <w:spacing w:after="0" w:line="240" w:lineRule="auto"/>
        <w:jc w:val="right"/>
      </w:pPr>
      <w:r w:rsidRPr="00AB2E1C">
        <w:tab/>
        <w:t xml:space="preserve">                              </w:t>
      </w:r>
      <w:r w:rsidRPr="00AB2E1C">
        <w:rPr>
          <w:i/>
        </w:rPr>
        <w:t>data i podpis administratora</w:t>
      </w:r>
    </w:p>
    <w:sectPr w:rsidR="00071553" w:rsidSect="009C4A57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004B4" w14:textId="77777777" w:rsidR="00D33E7C" w:rsidRDefault="00D33E7C">
      <w:pPr>
        <w:spacing w:after="0" w:line="240" w:lineRule="auto"/>
      </w:pPr>
      <w:r>
        <w:separator/>
      </w:r>
    </w:p>
  </w:endnote>
  <w:endnote w:type="continuationSeparator" w:id="0">
    <w:p w14:paraId="5AF3C412" w14:textId="77777777" w:rsidR="00D33E7C" w:rsidRDefault="00D3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6D06C" w14:textId="77777777" w:rsidR="00D33E7C" w:rsidRDefault="00D33E7C">
      <w:pPr>
        <w:spacing w:after="0" w:line="240" w:lineRule="auto"/>
      </w:pPr>
      <w:r>
        <w:separator/>
      </w:r>
    </w:p>
  </w:footnote>
  <w:footnote w:type="continuationSeparator" w:id="0">
    <w:p w14:paraId="1807BC25" w14:textId="77777777" w:rsidR="00D33E7C" w:rsidRDefault="00D3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pacing w:val="60"/>
      </w:rPr>
      <w:id w:val="-1693602685"/>
      <w:docPartObj>
        <w:docPartGallery w:val="Page Numbers (Top of Page)"/>
        <w:docPartUnique/>
      </w:docPartObj>
    </w:sdtPr>
    <w:sdtEndPr>
      <w:rPr>
        <w:b/>
        <w:bCs/>
        <w:spacing w:val="0"/>
      </w:rPr>
    </w:sdtEndPr>
    <w:sdtContent>
      <w:p w14:paraId="3019EE03" w14:textId="77777777" w:rsidR="00CC56D8" w:rsidRDefault="00AB2E1C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Strona</w:t>
        </w:r>
        <w:r>
          <w:t xml:space="preserve"> | </w:t>
        </w:r>
        <w:r w:rsidR="0048462A">
          <w:fldChar w:fldCharType="begin"/>
        </w:r>
        <w:r>
          <w:instrText>PAGE   \* MERGEFORMAT</w:instrText>
        </w:r>
        <w:r w:rsidR="0048462A">
          <w:fldChar w:fldCharType="separate"/>
        </w:r>
        <w:r w:rsidR="005F4A57" w:rsidRPr="005F4A57">
          <w:rPr>
            <w:b/>
            <w:bCs/>
            <w:noProof/>
          </w:rPr>
          <w:t>3</w:t>
        </w:r>
        <w:r w:rsidR="0048462A">
          <w:rPr>
            <w:b/>
            <w:bCs/>
          </w:rPr>
          <w:fldChar w:fldCharType="end"/>
        </w:r>
      </w:p>
    </w:sdtContent>
  </w:sdt>
  <w:p w14:paraId="6DCCB537" w14:textId="77777777" w:rsidR="00CC56D8" w:rsidRDefault="00D33E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67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B47CD7"/>
    <w:multiLevelType w:val="hybridMultilevel"/>
    <w:tmpl w:val="ED50AF7A"/>
    <w:lvl w:ilvl="0" w:tplc="4262360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61C86"/>
    <w:multiLevelType w:val="hybridMultilevel"/>
    <w:tmpl w:val="2C948272"/>
    <w:lvl w:ilvl="0" w:tplc="533A7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A352C"/>
    <w:multiLevelType w:val="hybridMultilevel"/>
    <w:tmpl w:val="44944A74"/>
    <w:lvl w:ilvl="0" w:tplc="CDCEE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26A19"/>
    <w:multiLevelType w:val="hybridMultilevel"/>
    <w:tmpl w:val="213EB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73521"/>
    <w:multiLevelType w:val="hybridMultilevel"/>
    <w:tmpl w:val="5BFEA2BE"/>
    <w:lvl w:ilvl="0" w:tplc="BC7C71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0710E"/>
    <w:multiLevelType w:val="hybridMultilevel"/>
    <w:tmpl w:val="305240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10C77"/>
    <w:multiLevelType w:val="hybridMultilevel"/>
    <w:tmpl w:val="60D66724"/>
    <w:lvl w:ilvl="0" w:tplc="9056D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6FD"/>
    <w:rsid w:val="00071553"/>
    <w:rsid w:val="000B5ACE"/>
    <w:rsid w:val="0017445F"/>
    <w:rsid w:val="0027301D"/>
    <w:rsid w:val="002A37AA"/>
    <w:rsid w:val="002A50AD"/>
    <w:rsid w:val="002B0246"/>
    <w:rsid w:val="002E4B82"/>
    <w:rsid w:val="00324DCE"/>
    <w:rsid w:val="00370166"/>
    <w:rsid w:val="00431686"/>
    <w:rsid w:val="00451689"/>
    <w:rsid w:val="004825E2"/>
    <w:rsid w:val="0048462A"/>
    <w:rsid w:val="004C17C9"/>
    <w:rsid w:val="005D7E57"/>
    <w:rsid w:val="005F4A57"/>
    <w:rsid w:val="0065256F"/>
    <w:rsid w:val="0069504B"/>
    <w:rsid w:val="00700AAB"/>
    <w:rsid w:val="00771C2D"/>
    <w:rsid w:val="007B7894"/>
    <w:rsid w:val="008124C3"/>
    <w:rsid w:val="00857BC9"/>
    <w:rsid w:val="008C23FE"/>
    <w:rsid w:val="00964696"/>
    <w:rsid w:val="00AA744B"/>
    <w:rsid w:val="00AB2E1C"/>
    <w:rsid w:val="00AE56FD"/>
    <w:rsid w:val="00B052DD"/>
    <w:rsid w:val="00B70DE1"/>
    <w:rsid w:val="00B96996"/>
    <w:rsid w:val="00BC57E9"/>
    <w:rsid w:val="00BE55D3"/>
    <w:rsid w:val="00C91631"/>
    <w:rsid w:val="00D33E7C"/>
    <w:rsid w:val="00D46B57"/>
    <w:rsid w:val="00D833CF"/>
    <w:rsid w:val="00E12326"/>
    <w:rsid w:val="00EA373B"/>
    <w:rsid w:val="00EE68DA"/>
    <w:rsid w:val="00EF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3C94D4"/>
  <w15:docId w15:val="{53BF8A5F-D7C7-480A-AB50-55638107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3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E1C"/>
  </w:style>
  <w:style w:type="paragraph" w:styleId="Akapitzlist">
    <w:name w:val="List Paragraph"/>
    <w:basedOn w:val="Normalny"/>
    <w:qFormat/>
    <w:rsid w:val="00BC57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4696"/>
    <w:rPr>
      <w:color w:val="0000FF"/>
      <w:u w:val="single"/>
    </w:rPr>
  </w:style>
  <w:style w:type="character" w:customStyle="1" w:styleId="hgkelc">
    <w:name w:val="hgkelc"/>
    <w:basedOn w:val="Domylnaczcionkaakapitu"/>
    <w:rsid w:val="00EE6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zkolenia.exlegeiod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1092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ANDRZEJEWSKI</dc:creator>
  <cp:lastModifiedBy>1927</cp:lastModifiedBy>
  <cp:revision>6</cp:revision>
  <dcterms:created xsi:type="dcterms:W3CDTF">2020-08-13T22:20:00Z</dcterms:created>
  <dcterms:modified xsi:type="dcterms:W3CDTF">2022-02-03T21:28:00Z</dcterms:modified>
</cp:coreProperties>
</file>